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05" w:rsidRDefault="001D1F05">
      <w:r>
        <w:t>CAT NIV in acute astma</w:t>
      </w:r>
    </w:p>
    <w:p w:rsidR="001D1F05" w:rsidRDefault="001D1F05"/>
    <w:p w:rsidR="00CD1494" w:rsidRPr="001F003B" w:rsidRDefault="00CD1494">
      <w:pPr>
        <w:rPr>
          <w:b/>
        </w:rPr>
      </w:pPr>
      <w:r w:rsidRPr="001F003B">
        <w:rPr>
          <w:b/>
        </w:rPr>
        <w:t>Achtergrond:</w:t>
      </w:r>
    </w:p>
    <w:p w:rsidR="0044775C" w:rsidRDefault="0044775C" w:rsidP="0044775C">
      <w:r>
        <w:t xml:space="preserve">Patienten die zich presenteren op de spoedeisende hulp met acute benauwdheid die niet reageren op conventionele, medicamenteuze therapie, worden vaak geintubeerd alvorens zij verder behandeld worden op de intensive care. </w:t>
      </w:r>
      <w:r w:rsidR="00B7175E">
        <w:t>Deze procedure wordt voorafgegaan door sedatie en gevolgd door invasieve beademing. Deze behandeling kent een hoge morbiditeit, als gevolg van problemen tijdens intubatie of complicaties van invasieve beademing.</w:t>
      </w:r>
    </w:p>
    <w:p w:rsidR="00B7175E" w:rsidRDefault="00B7175E" w:rsidP="0044775C">
      <w:r>
        <w:t>Additionele n</w:t>
      </w:r>
      <w:r w:rsidR="007C0C41">
        <w:t>oninvasieve beademing</w:t>
      </w:r>
      <w:r w:rsidR="00CD1494">
        <w:t xml:space="preserve"> </w:t>
      </w:r>
      <w:r w:rsidR="0044775C">
        <w:t xml:space="preserve">(NIV) </w:t>
      </w:r>
      <w:r w:rsidR="00CD1494">
        <w:t xml:space="preserve">wordt momenteel </w:t>
      </w:r>
      <w:r>
        <w:t>toegepast</w:t>
      </w:r>
      <w:r w:rsidR="00CD1494">
        <w:t xml:space="preserve"> op de spoedeisende hulp voor de behandeling van acute dyspnoe bij patienten met exacerbatie COPD en astma cardiale</w:t>
      </w:r>
      <w:r w:rsidR="001F003B">
        <w:t xml:space="preserve">. </w:t>
      </w:r>
      <w:r w:rsidR="0044775C">
        <w:t xml:space="preserve"> Er is inmiddels voldoende bewijs dat NIV intubatie bij een groot deel van deze patienten kan voorkomen. </w:t>
      </w:r>
      <w:r>
        <w:t xml:space="preserve"> De vraag is echter of hetzelfde geldt voor patienten die zich presenteren met een acute exacerbatie astma.</w:t>
      </w:r>
    </w:p>
    <w:p w:rsidR="0044775C" w:rsidRDefault="0044775C" w:rsidP="0044775C"/>
    <w:p w:rsidR="001F003B" w:rsidRPr="001F003B" w:rsidRDefault="001F003B">
      <w:pPr>
        <w:rPr>
          <w:b/>
        </w:rPr>
      </w:pPr>
      <w:r w:rsidRPr="001F003B">
        <w:rPr>
          <w:b/>
        </w:rPr>
        <w:t>Vraag:</w:t>
      </w:r>
    </w:p>
    <w:p w:rsidR="001F003B" w:rsidRDefault="001F003B">
      <w:r>
        <w:t>Indien een patient zich op de SEH presenteert met een ernstige astma-aanval, zal naast de conventionele behandeling met medicatie en vernevelen NIV een toegevoegde waarde hebben?</w:t>
      </w:r>
    </w:p>
    <w:p w:rsidR="007C0C41" w:rsidRDefault="001F003B">
      <w:r>
        <w:t>Zal dit te meten zijn in opnameduur, aantal geintubeerde patienten en daling van FEV1 in het eerste uur?</w:t>
      </w:r>
    </w:p>
    <w:p w:rsidR="007C0C41" w:rsidRDefault="007C0C41"/>
    <w:p w:rsidR="007C0C41" w:rsidRPr="001F003B" w:rsidRDefault="001F003B">
      <w:pPr>
        <w:rPr>
          <w:b/>
        </w:rPr>
      </w:pPr>
      <w:r>
        <w:rPr>
          <w:b/>
        </w:rPr>
        <w:t>PICO:</w:t>
      </w:r>
    </w:p>
    <w:p w:rsidR="001D1F05" w:rsidRDefault="001D1F05">
      <w:r>
        <w:t>Patienten: acute astma aanval, volwassenen</w:t>
      </w:r>
    </w:p>
    <w:p w:rsidR="001D1F05" w:rsidRDefault="001D1F05">
      <w:r>
        <w:t>Interventie: NIV en conventionele behandeling</w:t>
      </w:r>
    </w:p>
    <w:p w:rsidR="001D1F05" w:rsidRDefault="001D1F05">
      <w:r>
        <w:t>Controle : conventionele behandeling</w:t>
      </w:r>
    </w:p>
    <w:p w:rsidR="001D1F05" w:rsidRDefault="001D1F05">
      <w:r>
        <w:t xml:space="preserve">Outcome: </w:t>
      </w:r>
      <w:r w:rsidR="00CC4296">
        <w:t>aantal intubaties, aantal opnames, daling FEV1</w:t>
      </w:r>
      <w:r>
        <w:t xml:space="preserve"> </w:t>
      </w:r>
    </w:p>
    <w:p w:rsidR="001D1F05" w:rsidRDefault="001D1F05"/>
    <w:p w:rsidR="001D1F05" w:rsidRPr="001F003B" w:rsidRDefault="001D1F05">
      <w:pPr>
        <w:rPr>
          <w:b/>
        </w:rPr>
      </w:pPr>
      <w:r w:rsidRPr="001F003B">
        <w:rPr>
          <w:b/>
        </w:rPr>
        <w:t>Pubmed:</w:t>
      </w:r>
    </w:p>
    <w:p w:rsidR="001D1F05" w:rsidRDefault="001D1F05">
      <w:r>
        <w:t>Asthma [Mesh]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43E">
        <w:tab/>
      </w:r>
      <w:r w:rsidR="0041443E">
        <w:tab/>
      </w:r>
      <w:r>
        <w:t>89835</w:t>
      </w:r>
    </w:p>
    <w:p w:rsidR="001D1F05" w:rsidRDefault="001D1F05">
      <w:r>
        <w:t>Mechanical ventilation [Mesh]</w:t>
      </w:r>
      <w:r>
        <w:tab/>
      </w:r>
      <w:r>
        <w:tab/>
      </w:r>
      <w:r>
        <w:tab/>
      </w:r>
      <w:r>
        <w:tab/>
      </w:r>
      <w:r w:rsidR="0041443E">
        <w:tab/>
      </w:r>
      <w:r w:rsidR="0041443E">
        <w:tab/>
      </w:r>
      <w:r>
        <w:t>48999</w:t>
      </w:r>
    </w:p>
    <w:p w:rsidR="001D1F05" w:rsidRDefault="001D1F05"/>
    <w:p w:rsidR="00891A59" w:rsidRDefault="001D1F05">
      <w:r>
        <w:t>Asthma [Mesh]AND mechanical ventilation [Mesh]</w:t>
      </w:r>
      <w:r>
        <w:tab/>
      </w:r>
      <w:r w:rsidR="0041443E">
        <w:tab/>
      </w:r>
      <w:r w:rsidR="0041443E">
        <w:tab/>
      </w:r>
      <w:r>
        <w:t>929</w:t>
      </w:r>
    </w:p>
    <w:p w:rsidR="00891A59" w:rsidRDefault="00891A59"/>
    <w:p w:rsidR="0041443E" w:rsidRDefault="00891A59">
      <w:r>
        <w:t>Limits: RCT, meta-analysi</w:t>
      </w:r>
      <w:r w:rsidR="003C355F">
        <w:t>s, review, adults, humans, engl</w:t>
      </w:r>
      <w:r>
        <w:t>i</w:t>
      </w:r>
      <w:r w:rsidR="003C355F">
        <w:t>s</w:t>
      </w:r>
      <w:r>
        <w:t>h/dutch</w:t>
      </w:r>
      <w:r w:rsidR="0041443E">
        <w:tab/>
        <w:t>58</w:t>
      </w:r>
    </w:p>
    <w:p w:rsidR="0041443E" w:rsidRDefault="0041443E"/>
    <w:p w:rsidR="0041443E" w:rsidRDefault="0041443E">
      <w:r>
        <w:t>Na lezen titels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41443E" w:rsidRDefault="0041443E"/>
    <w:p w:rsidR="002C6F74" w:rsidRDefault="0041443E">
      <w:r>
        <w:t>Na lezen artikelen</w:t>
      </w:r>
      <w:r w:rsidR="001F4405">
        <w:tab/>
      </w:r>
      <w:r w:rsidR="001F4405">
        <w:tab/>
      </w:r>
      <w:r w:rsidR="001F4405">
        <w:tab/>
      </w:r>
      <w:r w:rsidR="001F4405">
        <w:tab/>
      </w:r>
      <w:r w:rsidR="001F4405">
        <w:tab/>
      </w:r>
      <w:r w:rsidR="001F4405">
        <w:tab/>
      </w:r>
      <w:r w:rsidR="001F4405">
        <w:tab/>
      </w:r>
      <w:r w:rsidR="001F4405">
        <w:tab/>
        <w:t>2</w:t>
      </w:r>
    </w:p>
    <w:p w:rsidR="002C6F74" w:rsidRDefault="002C6F74"/>
    <w:p w:rsidR="006E1B76" w:rsidRDefault="002C6F74">
      <w:r>
        <w:t xml:space="preserve">Referenties </w:t>
      </w:r>
      <w:r w:rsidR="006E1B76">
        <w:t>artikelen</w:t>
      </w:r>
      <w:r w:rsidR="006E1B76">
        <w:tab/>
      </w:r>
      <w:r w:rsidR="006E1B76">
        <w:tab/>
      </w:r>
      <w:r w:rsidR="006E1B76">
        <w:tab/>
      </w:r>
      <w:r w:rsidR="006E1B76">
        <w:tab/>
      </w:r>
      <w:r w:rsidR="006E1B76">
        <w:tab/>
      </w:r>
      <w:r w:rsidR="006E1B76">
        <w:tab/>
      </w:r>
      <w:r w:rsidR="006E1B76">
        <w:tab/>
        <w:t>-</w:t>
      </w:r>
    </w:p>
    <w:p w:rsidR="006E1B76" w:rsidRDefault="006E1B76"/>
    <w:p w:rsidR="006E1B76" w:rsidRPr="001F003B" w:rsidRDefault="006E1B76">
      <w:pPr>
        <w:rPr>
          <w:b/>
        </w:rPr>
      </w:pPr>
      <w:r w:rsidRPr="001F003B">
        <w:t>Cochrane</w:t>
      </w:r>
      <w:r w:rsidR="001F003B">
        <w:t xml:space="preserve"> R</w:t>
      </w:r>
      <w:r>
        <w:t>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003B">
        <w:tab/>
      </w:r>
      <w:r>
        <w:tab/>
        <w:t>1</w:t>
      </w:r>
    </w:p>
    <w:p w:rsidR="006E1B76" w:rsidRDefault="006E1B76"/>
    <w:p w:rsidR="001F003B" w:rsidRDefault="006E1B76">
      <w:r>
        <w:t>Review 2009 Emergency Medicine Australia</w:t>
      </w:r>
      <w:r w:rsidR="003C355F">
        <w:tab/>
      </w:r>
      <w:r w:rsidR="003C355F">
        <w:tab/>
      </w:r>
      <w:r w:rsidR="003C355F">
        <w:tab/>
      </w:r>
      <w:r w:rsidR="003C355F">
        <w:tab/>
        <w:t>1</w:t>
      </w:r>
    </w:p>
    <w:p w:rsidR="001F003B" w:rsidRDefault="001F003B"/>
    <w:p w:rsidR="001F4405" w:rsidRDefault="001F003B">
      <w:r>
        <w:t xml:space="preserve">Beide reviews verwijzen naar </w:t>
      </w:r>
      <w:r w:rsidR="001F4405">
        <w:t>het bovenste</w:t>
      </w:r>
      <w:r>
        <w:t xml:space="preserve"> artikel dat ik ook in Pubmed had gevonden. Cochrane heeft 1 artikel geincludeerd.</w:t>
      </w:r>
    </w:p>
    <w:p w:rsidR="001F003B" w:rsidRDefault="001F4405">
      <w:r>
        <w:t>Ik heb zelf nog een artikel uit 2009 geincludeerd.</w:t>
      </w:r>
    </w:p>
    <w:p w:rsidR="001F003B" w:rsidRDefault="001F003B"/>
    <w:p w:rsidR="001F003B" w:rsidRPr="0044775C" w:rsidRDefault="001F003B">
      <w:pPr>
        <w:rPr>
          <w:b/>
        </w:rPr>
      </w:pPr>
      <w:r w:rsidRPr="0044775C">
        <w:rPr>
          <w:b/>
        </w:rPr>
        <w:t>Cochrane:</w:t>
      </w:r>
    </w:p>
    <w:p w:rsidR="0044775C" w:rsidRDefault="001F003B">
      <w:r>
        <w:t>Non-invasive positive pressure ventilation for treatment of respiratory failure due to severe acute exacerbations of asthma.</w:t>
      </w:r>
    </w:p>
    <w:p w:rsidR="0044775C" w:rsidRDefault="0044775C">
      <w:r>
        <w:t>696 abstracts bestudeerd, 11 artikelen uitgezocht, 10 ge</w:t>
      </w:r>
      <w:r>
        <w:rPr>
          <w:rFonts w:ascii="Cambria" w:hAnsi="Cambria"/>
        </w:rPr>
        <w:t>ëxc</w:t>
      </w:r>
      <w:r>
        <w:t>ludeerd.</w:t>
      </w:r>
    </w:p>
    <w:p w:rsidR="00B7175E" w:rsidRDefault="0044775C">
      <w:r>
        <w:t xml:space="preserve">1 Artikel geincludeerd. </w:t>
      </w:r>
    </w:p>
    <w:p w:rsidR="001D1F05" w:rsidRDefault="001D1F05"/>
    <w:tbl>
      <w:tblPr>
        <w:tblStyle w:val="Tabelraster"/>
        <w:tblW w:w="9822" w:type="dxa"/>
        <w:tblLook w:val="00BF"/>
      </w:tblPr>
      <w:tblGrid>
        <w:gridCol w:w="1228"/>
        <w:gridCol w:w="1443"/>
        <w:gridCol w:w="1580"/>
        <w:gridCol w:w="1558"/>
        <w:gridCol w:w="1266"/>
        <w:gridCol w:w="1234"/>
        <w:gridCol w:w="446"/>
        <w:gridCol w:w="1067"/>
      </w:tblGrid>
      <w:tr w:rsidR="00C40AD4">
        <w:trPr>
          <w:trHeight w:val="485"/>
        </w:trPr>
        <w:tc>
          <w:tcPr>
            <w:tcW w:w="1228" w:type="dxa"/>
            <w:vAlign w:val="center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studie</w:t>
            </w:r>
          </w:p>
        </w:tc>
        <w:tc>
          <w:tcPr>
            <w:tcW w:w="1443" w:type="dxa"/>
            <w:vAlign w:val="center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Patienten</w:t>
            </w:r>
          </w:p>
        </w:tc>
        <w:tc>
          <w:tcPr>
            <w:tcW w:w="1580" w:type="dxa"/>
            <w:vAlign w:val="center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Interventie</w:t>
            </w:r>
          </w:p>
        </w:tc>
        <w:tc>
          <w:tcPr>
            <w:tcW w:w="1558" w:type="dxa"/>
            <w:vAlign w:val="center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Controle</w:t>
            </w:r>
          </w:p>
        </w:tc>
        <w:tc>
          <w:tcPr>
            <w:tcW w:w="1266" w:type="dxa"/>
            <w:vAlign w:val="center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Outcome</w:t>
            </w:r>
          </w:p>
        </w:tc>
        <w:tc>
          <w:tcPr>
            <w:tcW w:w="1234" w:type="dxa"/>
            <w:vAlign w:val="center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Commentaar</w:t>
            </w:r>
          </w:p>
        </w:tc>
        <w:tc>
          <w:tcPr>
            <w:tcW w:w="446" w:type="dxa"/>
          </w:tcPr>
          <w:p w:rsidR="00C40AD4" w:rsidRDefault="00C40AD4" w:rsidP="00C40AD4"/>
        </w:tc>
        <w:tc>
          <w:tcPr>
            <w:tcW w:w="1067" w:type="dxa"/>
          </w:tcPr>
          <w:p w:rsidR="00C40AD4" w:rsidRDefault="00C40AD4" w:rsidP="00C40AD4"/>
        </w:tc>
      </w:tr>
      <w:tr w:rsidR="00C40AD4">
        <w:trPr>
          <w:trHeight w:val="485"/>
        </w:trPr>
        <w:tc>
          <w:tcPr>
            <w:tcW w:w="1228" w:type="dxa"/>
            <w:vAlign w:val="center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Soroksky 2003</w:t>
            </w:r>
          </w:p>
        </w:tc>
        <w:tc>
          <w:tcPr>
            <w:tcW w:w="1443" w:type="dxa"/>
            <w:vAlign w:val="center"/>
          </w:tcPr>
          <w:p w:rsidR="00C40AD4" w:rsidRPr="000432A9" w:rsidRDefault="001F4405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30 Asthma-patienten </w:t>
            </w:r>
          </w:p>
        </w:tc>
        <w:tc>
          <w:tcPr>
            <w:tcW w:w="1580" w:type="dxa"/>
            <w:vAlign w:val="center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15 NPPV  en standa</w:t>
            </w:r>
            <w:r w:rsidR="001F4405">
              <w:rPr>
                <w:rFonts w:ascii="Tahoma" w:hAnsi="Tahoma"/>
                <w:sz w:val="18"/>
                <w:szCs w:val="16"/>
              </w:rPr>
              <w:t>ard medicamenteuze behandeling</w:t>
            </w:r>
          </w:p>
        </w:tc>
        <w:tc>
          <w:tcPr>
            <w:tcW w:w="1558" w:type="dxa"/>
            <w:vAlign w:val="center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 xml:space="preserve">15 Nep-NPPV en standaard medicamenteuze </w:t>
            </w:r>
          </w:p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behandeling</w:t>
            </w:r>
          </w:p>
        </w:tc>
        <w:tc>
          <w:tcPr>
            <w:tcW w:w="1266" w:type="dxa"/>
            <w:vAlign w:val="center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Toename FEV1 53% vs 28% (p&lt;0.004)</w:t>
            </w:r>
          </w:p>
          <w:p w:rsidR="00A40753" w:rsidRDefault="00A40753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Opname</w:t>
            </w:r>
          </w:p>
          <w:p w:rsidR="00C40AD4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 xml:space="preserve"> 17,6 % vs 62,5% (p 0.0134)</w:t>
            </w:r>
          </w:p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</w:p>
        </w:tc>
        <w:tc>
          <w:tcPr>
            <w:tcW w:w="1234" w:type="dxa"/>
            <w:vAlign w:val="center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Het studieteam is niet geblindeerd</w:t>
            </w:r>
            <w:r w:rsidR="00CC4296">
              <w:rPr>
                <w:rFonts w:ascii="Tahoma" w:hAnsi="Tahoma"/>
                <w:sz w:val="18"/>
                <w:szCs w:val="16"/>
              </w:rPr>
              <w:t>. Beide groepen geen intubaties</w:t>
            </w:r>
          </w:p>
        </w:tc>
        <w:tc>
          <w:tcPr>
            <w:tcW w:w="446" w:type="dxa"/>
          </w:tcPr>
          <w:p w:rsidR="00C40AD4" w:rsidRDefault="00C40AD4" w:rsidP="00C40AD4"/>
        </w:tc>
        <w:tc>
          <w:tcPr>
            <w:tcW w:w="1067" w:type="dxa"/>
          </w:tcPr>
          <w:p w:rsidR="00C40AD4" w:rsidRDefault="00C40AD4" w:rsidP="00C40AD4"/>
        </w:tc>
      </w:tr>
      <w:tr w:rsidR="00C40AD4">
        <w:trPr>
          <w:trHeight w:val="451"/>
        </w:trPr>
        <w:tc>
          <w:tcPr>
            <w:tcW w:w="1228" w:type="dxa"/>
          </w:tcPr>
          <w:p w:rsidR="00C40AD4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 w:rsidRPr="000432A9">
              <w:rPr>
                <w:rFonts w:ascii="Tahoma" w:hAnsi="Tahoma"/>
                <w:sz w:val="18"/>
                <w:szCs w:val="16"/>
              </w:rPr>
              <w:t>Brandao 2009</w:t>
            </w:r>
          </w:p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Prospective RCT</w:t>
            </w:r>
          </w:p>
        </w:tc>
        <w:tc>
          <w:tcPr>
            <w:tcW w:w="1443" w:type="dxa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36 astmapatienten</w:t>
            </w:r>
          </w:p>
        </w:tc>
        <w:tc>
          <w:tcPr>
            <w:tcW w:w="1580" w:type="dxa"/>
          </w:tcPr>
          <w:p w:rsidR="00C40AD4" w:rsidRDefault="00C40AD4" w:rsidP="00C40AD4">
            <w:pPr>
              <w:spacing w:line="280" w:lineRule="exact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1. </w:t>
            </w:r>
            <w:r w:rsidRPr="000B130F">
              <w:rPr>
                <w:rFonts w:ascii="Tahoma" w:hAnsi="Tahoma"/>
                <w:sz w:val="18"/>
                <w:szCs w:val="16"/>
              </w:rPr>
              <w:t>vernevelen en NIV 15/5</w:t>
            </w:r>
            <w:r>
              <w:rPr>
                <w:rFonts w:ascii="Tahoma" w:hAnsi="Tahoma"/>
                <w:sz w:val="18"/>
                <w:szCs w:val="16"/>
              </w:rPr>
              <w:t xml:space="preserve"> </w:t>
            </w:r>
          </w:p>
          <w:p w:rsidR="00C40AD4" w:rsidRPr="000B130F" w:rsidRDefault="00C40AD4" w:rsidP="00C40AD4">
            <w:pPr>
              <w:spacing w:line="280" w:lineRule="exact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 xml:space="preserve">2. </w:t>
            </w:r>
            <w:r w:rsidRPr="000B130F">
              <w:rPr>
                <w:rFonts w:ascii="Tahoma" w:hAnsi="Tahoma"/>
                <w:sz w:val="18"/>
                <w:szCs w:val="16"/>
              </w:rPr>
              <w:t xml:space="preserve">vernevelen en NIV 15/10 </w:t>
            </w:r>
          </w:p>
        </w:tc>
        <w:tc>
          <w:tcPr>
            <w:tcW w:w="1558" w:type="dxa"/>
          </w:tcPr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Alleen vernevelen</w:t>
            </w:r>
          </w:p>
        </w:tc>
        <w:tc>
          <w:tcPr>
            <w:tcW w:w="1266" w:type="dxa"/>
          </w:tcPr>
          <w:p w:rsidR="00C40AD4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FEV1-stijging 30 minuten na behandeling: exp 1 sign beter (p &lt;0,03)</w:t>
            </w:r>
          </w:p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Exp 1 n.s.</w:t>
            </w:r>
          </w:p>
        </w:tc>
        <w:tc>
          <w:tcPr>
            <w:tcW w:w="1234" w:type="dxa"/>
          </w:tcPr>
          <w:p w:rsidR="00C40AD4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Geen meting na &gt; 30 minuten</w:t>
            </w:r>
          </w:p>
          <w:p w:rsidR="00C40AD4" w:rsidRPr="000432A9" w:rsidRDefault="00C40AD4" w:rsidP="00C40AD4">
            <w:pPr>
              <w:spacing w:line="280" w:lineRule="exact"/>
              <w:contextualSpacing/>
              <w:jc w:val="center"/>
              <w:rPr>
                <w:rFonts w:ascii="Tahoma" w:hAnsi="Tahoma"/>
                <w:sz w:val="18"/>
                <w:szCs w:val="16"/>
              </w:rPr>
            </w:pPr>
            <w:r>
              <w:rPr>
                <w:rFonts w:ascii="Tahoma" w:hAnsi="Tahoma"/>
                <w:sz w:val="18"/>
                <w:szCs w:val="16"/>
              </w:rPr>
              <w:t>Geen cijfers mbt opname</w:t>
            </w:r>
            <w:r w:rsidR="00CC4296">
              <w:rPr>
                <w:rFonts w:ascii="Tahoma" w:hAnsi="Tahoma"/>
                <w:sz w:val="18"/>
                <w:szCs w:val="16"/>
              </w:rPr>
              <w:t>. Beide groepen geen intubaties</w:t>
            </w:r>
          </w:p>
        </w:tc>
        <w:tc>
          <w:tcPr>
            <w:tcW w:w="446" w:type="dxa"/>
          </w:tcPr>
          <w:p w:rsidR="00C40AD4" w:rsidRDefault="00C40AD4" w:rsidP="00C40AD4"/>
        </w:tc>
        <w:tc>
          <w:tcPr>
            <w:tcW w:w="1067" w:type="dxa"/>
          </w:tcPr>
          <w:p w:rsidR="00C40AD4" w:rsidRDefault="00C40AD4" w:rsidP="00C40AD4"/>
        </w:tc>
      </w:tr>
    </w:tbl>
    <w:p w:rsidR="00BD636E" w:rsidRDefault="00BD636E" w:rsidP="00337C25"/>
    <w:p w:rsidR="00BD636E" w:rsidRDefault="00BD636E" w:rsidP="00337C25"/>
    <w:p w:rsidR="00CD1494" w:rsidRDefault="00CD1494" w:rsidP="00CD1494"/>
    <w:p w:rsidR="00CD1494" w:rsidRDefault="00CD1494" w:rsidP="00CD1494">
      <w:pPr>
        <w:rPr>
          <w:b/>
          <w:snapToGrid w:val="0"/>
          <w:color w:val="000000"/>
          <w:u w:val="single"/>
          <w:lang w:eastAsia="nl-NL"/>
        </w:rPr>
      </w:pPr>
      <w:r>
        <w:rPr>
          <w:b/>
          <w:u w:val="single"/>
        </w:rPr>
        <w:t xml:space="preserve">Conclusie: </w:t>
      </w:r>
    </w:p>
    <w:p w:rsidR="00D57CA8" w:rsidRDefault="001F4405" w:rsidP="00CD1494">
      <w:r>
        <w:t xml:space="preserve">Op basis van bovengenoemde 2 studies  zou gezegd kunnen worden dat noninvasieve beademing naast de conventionele medicamenteuze behandeling van acute astmapatienten een </w:t>
      </w:r>
      <w:r w:rsidR="00A40753">
        <w:t xml:space="preserve">toegevoegde waarde heeft. Er is een daling van aantal opnames en een stijging van de FEV1 na 30 of 60 minuten. </w:t>
      </w:r>
    </w:p>
    <w:p w:rsidR="00CD1494" w:rsidRDefault="00CD1494" w:rsidP="00CD1494"/>
    <w:p w:rsidR="00CD1494" w:rsidRDefault="00CD1494" w:rsidP="00CD1494">
      <w:pPr>
        <w:rPr>
          <w:b/>
          <w:u w:val="single"/>
        </w:rPr>
      </w:pPr>
      <w:r>
        <w:rPr>
          <w:b/>
          <w:u w:val="single"/>
        </w:rPr>
        <w:t xml:space="preserve">Commentaar: </w:t>
      </w:r>
    </w:p>
    <w:p w:rsidR="00A40753" w:rsidRDefault="00A40753" w:rsidP="00CD1494">
      <w:r>
        <w:t>Alleen Soroksky heeft gekeken naar opnames. In beide studies zijn geen patienten geintubeerd. Er kan dus niet gesteld worden dat NIV intubaties voorkomt.</w:t>
      </w:r>
    </w:p>
    <w:p w:rsidR="00A40753" w:rsidRDefault="00A40753" w:rsidP="00CD1494">
      <w:r>
        <w:t>Andere uitkomsten mbt ademfrequentie, polsfrequentie en overige spirometrische waarden zijn in het kader van deze PICO buiten beschouwing gelaten.</w:t>
      </w:r>
    </w:p>
    <w:p w:rsidR="00CD1494" w:rsidRDefault="00CD1494" w:rsidP="00CD1494"/>
    <w:p w:rsidR="00A40753" w:rsidRDefault="00CD1494" w:rsidP="00CD1494">
      <w:pPr>
        <w:rPr>
          <w:b/>
          <w:u w:val="single"/>
        </w:rPr>
      </w:pPr>
      <w:r>
        <w:rPr>
          <w:b/>
          <w:u w:val="single"/>
        </w:rPr>
        <w:t>Aanbeveling:</w:t>
      </w:r>
    </w:p>
    <w:p w:rsidR="00CD1494" w:rsidRPr="00A40753" w:rsidRDefault="00A40753" w:rsidP="00CD1494">
      <w:r>
        <w:t>Op basis van de genoemde 2 studie</w:t>
      </w:r>
      <w:r w:rsidR="00A36310">
        <w:t>s kan gesteld worden dat NIV een</w:t>
      </w:r>
      <w:r>
        <w:t xml:space="preserve"> toegevoegde waarde heeft. Er zijn echter nog geen grote RCTs verricht. Risico op intubatie is in beide studies niet gemeten en deze vraag blijft daarom onbeantwoord.</w:t>
      </w:r>
    </w:p>
    <w:p w:rsidR="00CD1494" w:rsidRDefault="00CD1494" w:rsidP="00CD1494">
      <w:pPr>
        <w:ind w:left="540" w:hanging="540"/>
        <w:rPr>
          <w:b/>
          <w:snapToGrid w:val="0"/>
          <w:color w:val="000000"/>
          <w:u w:val="single"/>
          <w:lang w:eastAsia="nl-NL"/>
        </w:rPr>
      </w:pPr>
    </w:p>
    <w:p w:rsidR="00BD636E" w:rsidRDefault="00CD1494" w:rsidP="00CD1494">
      <w:pPr>
        <w:rPr>
          <w:snapToGrid w:val="0"/>
          <w:color w:val="000000"/>
          <w:lang w:eastAsia="nl-NL"/>
        </w:rPr>
      </w:pPr>
      <w:r>
        <w:rPr>
          <w:b/>
          <w:snapToGrid w:val="0"/>
          <w:color w:val="000000"/>
          <w:u w:val="single"/>
          <w:lang w:eastAsia="nl-NL"/>
        </w:rPr>
        <w:t>Niveau van aanbeveling</w:t>
      </w:r>
      <w:r>
        <w:rPr>
          <w:snapToGrid w:val="0"/>
          <w:color w:val="000000"/>
          <w:lang w:eastAsia="nl-NL"/>
        </w:rPr>
        <w:t xml:space="preserve">: </w:t>
      </w:r>
    </w:p>
    <w:p w:rsidR="00BD636E" w:rsidRDefault="00BD636E" w:rsidP="00CD1494">
      <w:pPr>
        <w:rPr>
          <w:snapToGrid w:val="0"/>
          <w:color w:val="000000"/>
          <w:lang w:eastAsia="nl-NL"/>
        </w:rPr>
      </w:pPr>
    </w:p>
    <w:p w:rsidR="00BD636E" w:rsidRDefault="00BD636E" w:rsidP="00CD1494">
      <w:pPr>
        <w:rPr>
          <w:snapToGrid w:val="0"/>
          <w:color w:val="000000"/>
          <w:lang w:eastAsia="nl-NL"/>
        </w:rPr>
      </w:pPr>
    </w:p>
    <w:p w:rsidR="00BD636E" w:rsidRDefault="00BD636E" w:rsidP="00CD1494">
      <w:pPr>
        <w:rPr>
          <w:snapToGrid w:val="0"/>
          <w:color w:val="000000"/>
          <w:lang w:eastAsia="nl-NL"/>
        </w:rPr>
      </w:pPr>
    </w:p>
    <w:sectPr w:rsidR="00BD636E" w:rsidSect="00891A59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53E"/>
    <w:multiLevelType w:val="hybridMultilevel"/>
    <w:tmpl w:val="D7E638FE"/>
    <w:lvl w:ilvl="0" w:tplc="20EC462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335AF"/>
    <w:multiLevelType w:val="hybridMultilevel"/>
    <w:tmpl w:val="9CC6B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1F05"/>
    <w:rsid w:val="00011B8F"/>
    <w:rsid w:val="000432A9"/>
    <w:rsid w:val="000B130F"/>
    <w:rsid w:val="001D1F05"/>
    <w:rsid w:val="001F003B"/>
    <w:rsid w:val="001F4405"/>
    <w:rsid w:val="00210DD5"/>
    <w:rsid w:val="002519E1"/>
    <w:rsid w:val="0028281D"/>
    <w:rsid w:val="002C6F74"/>
    <w:rsid w:val="00337C25"/>
    <w:rsid w:val="003C355F"/>
    <w:rsid w:val="0041443E"/>
    <w:rsid w:val="0044775C"/>
    <w:rsid w:val="00590556"/>
    <w:rsid w:val="006E1B76"/>
    <w:rsid w:val="007C0C41"/>
    <w:rsid w:val="00827E14"/>
    <w:rsid w:val="0083565F"/>
    <w:rsid w:val="00891A59"/>
    <w:rsid w:val="00A36310"/>
    <w:rsid w:val="00A40753"/>
    <w:rsid w:val="00B7175E"/>
    <w:rsid w:val="00BD636E"/>
    <w:rsid w:val="00C40AD4"/>
    <w:rsid w:val="00C83865"/>
    <w:rsid w:val="00CC4296"/>
    <w:rsid w:val="00CD1494"/>
    <w:rsid w:val="00D57CA8"/>
    <w:rsid w:val="00E36C3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14853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3C355F"/>
    <w:pPr>
      <w:ind w:left="720"/>
      <w:contextualSpacing/>
    </w:pPr>
  </w:style>
  <w:style w:type="table" w:styleId="Tabelraster">
    <w:name w:val="Table Grid"/>
    <w:basedOn w:val="Standaardtabel"/>
    <w:uiPriority w:val="59"/>
    <w:rsid w:val="00BD63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418</Words>
  <Characters>2385</Characters>
  <Application>Microsoft Macintosh Word</Application>
  <DocSecurity>0</DocSecurity>
  <Lines>19</Lines>
  <Paragraphs>4</Paragraphs>
  <ScaleCrop>false</ScaleCrop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Marijn Vriends</cp:lastModifiedBy>
  <cp:revision>17</cp:revision>
  <dcterms:created xsi:type="dcterms:W3CDTF">2010-03-28T13:57:00Z</dcterms:created>
  <dcterms:modified xsi:type="dcterms:W3CDTF">2010-03-29T17:01:00Z</dcterms:modified>
</cp:coreProperties>
</file>